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43C39" w:rsidRDefault="004A10A8" w:rsidP="00A27296">
            <w:pPr>
              <w:pStyle w:val="rvps7"/>
              <w:spacing w:before="0" w:beforeAutospacing="0" w:after="0" w:afterAutospacing="0"/>
              <w:jc w:val="both"/>
              <w:rPr>
                <w:sz w:val="28"/>
                <w:szCs w:val="28"/>
                <w:lang w:val="en-US"/>
              </w:rPr>
            </w:pPr>
            <w:r w:rsidRPr="001F2F44">
              <w:rPr>
                <w:rStyle w:val="rvts15"/>
                <w:sz w:val="28"/>
                <w:szCs w:val="28"/>
              </w:rPr>
              <w:t>від</w:t>
            </w:r>
            <w:r w:rsidR="008E1C42" w:rsidRPr="001F2F44">
              <w:rPr>
                <w:rStyle w:val="rvts15"/>
                <w:sz w:val="28"/>
                <w:szCs w:val="28"/>
              </w:rPr>
              <w:t xml:space="preserve"> </w:t>
            </w:r>
            <w:r w:rsidR="00C55FF1">
              <w:rPr>
                <w:rStyle w:val="rvts15"/>
                <w:sz w:val="28"/>
                <w:szCs w:val="28"/>
                <w:u w:val="single"/>
              </w:rPr>
              <w:t>15.09</w:t>
            </w:r>
            <w:r w:rsidR="00EE2B89" w:rsidRPr="001F2F44">
              <w:rPr>
                <w:rStyle w:val="rvts15"/>
                <w:sz w:val="28"/>
                <w:szCs w:val="28"/>
                <w:u w:val="single"/>
              </w:rPr>
              <w:t>.2021 №</w:t>
            </w:r>
            <w:r w:rsidR="00A27296" w:rsidRPr="00A27296">
              <w:rPr>
                <w:rStyle w:val="rvts15"/>
                <w:sz w:val="28"/>
                <w:szCs w:val="28"/>
                <w:u w:val="single"/>
              </w:rPr>
              <w:t>2/1-26-82</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10A8" w:rsidRDefault="006A396A" w:rsidP="00AC68E9">
      <w:pPr>
        <w:ind w:left="708"/>
        <w:jc w:val="center"/>
        <w:rPr>
          <w:snapToGrid w:val="0"/>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8B33ED">
        <w:rPr>
          <w:sz w:val="28"/>
          <w:szCs w:val="28"/>
        </w:rPr>
        <w:t>Б</w:t>
      </w:r>
      <w:r w:rsidR="00E036CF" w:rsidRPr="005A1D4E">
        <w:rPr>
          <w:sz w:val="28"/>
          <w:szCs w:val="28"/>
        </w:rPr>
        <w:t xml:space="preserve">” –  </w:t>
      </w:r>
      <w:r w:rsidR="006342B0" w:rsidRPr="00646DE7">
        <w:rPr>
          <w:snapToGrid w:val="0"/>
          <w:sz w:val="28"/>
          <w:szCs w:val="28"/>
        </w:rPr>
        <w:t xml:space="preserve"> </w:t>
      </w:r>
      <w:r w:rsidR="00C55FF1">
        <w:rPr>
          <w:snapToGrid w:val="0"/>
          <w:sz w:val="28"/>
          <w:szCs w:val="28"/>
        </w:rPr>
        <w:t>завідувача сектору управління персоналом</w:t>
      </w:r>
    </w:p>
    <w:p w:rsidR="00C55FF1" w:rsidRPr="00646DE7" w:rsidRDefault="00C55FF1" w:rsidP="00AC68E9">
      <w:pPr>
        <w:ind w:left="708"/>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62"/>
        <w:gridCol w:w="6942"/>
        <w:gridCol w:w="10"/>
        <w:gridCol w:w="11"/>
        <w:gridCol w:w="11"/>
      </w:tblGrid>
      <w:tr w:rsidR="00D60B9B" w:rsidRPr="00646DE7" w:rsidTr="005071DD">
        <w:trPr>
          <w:gridBefore w:val="1"/>
          <w:gridAfter w:val="2"/>
          <w:wBefore w:w="20" w:type="dxa"/>
          <w:wAfter w:w="22" w:type="dxa"/>
        </w:trPr>
        <w:tc>
          <w:tcPr>
            <w:tcW w:w="10637" w:type="dxa"/>
            <w:gridSpan w:val="5"/>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217945" w:rsidRPr="00217945" w:rsidRDefault="00217945" w:rsidP="00217945">
            <w:pPr>
              <w:ind w:left="-3" w:right="130"/>
              <w:jc w:val="both"/>
              <w:rPr>
                <w:sz w:val="28"/>
                <w:szCs w:val="28"/>
              </w:rPr>
            </w:pPr>
            <w:bookmarkStart w:id="0" w:name="n95"/>
            <w:bookmarkEnd w:id="0"/>
            <w:r w:rsidRPr="00217945">
              <w:rPr>
                <w:sz w:val="28"/>
                <w:szCs w:val="28"/>
              </w:rPr>
              <w:t>Здійснення керівництва та організації роботи сектору:</w:t>
            </w:r>
          </w:p>
          <w:p w:rsidR="00217945" w:rsidRPr="00217945" w:rsidRDefault="00217945" w:rsidP="00217945">
            <w:pPr>
              <w:ind w:left="-3" w:right="130"/>
              <w:jc w:val="both"/>
              <w:rPr>
                <w:sz w:val="28"/>
                <w:szCs w:val="28"/>
              </w:rPr>
            </w:pPr>
            <w:r w:rsidRPr="00217945">
              <w:rPr>
                <w:sz w:val="28"/>
                <w:szCs w:val="28"/>
              </w:rPr>
              <w:t>- забезпечення виконання покладених на сектор завдань і здійснення ним функцій,  передбачених Положенням про сектор;</w:t>
            </w:r>
          </w:p>
          <w:p w:rsidR="00217945" w:rsidRPr="00217945" w:rsidRDefault="00217945" w:rsidP="00217945">
            <w:pPr>
              <w:ind w:left="-3" w:right="130"/>
              <w:jc w:val="both"/>
              <w:rPr>
                <w:sz w:val="28"/>
                <w:szCs w:val="28"/>
              </w:rPr>
            </w:pPr>
            <w:r w:rsidRPr="00217945">
              <w:rPr>
                <w:sz w:val="28"/>
                <w:szCs w:val="28"/>
              </w:rPr>
              <w:t>- розподіл обов’язків між працівниками сектору, внесення пропозицій щодо змін до Положення про сектор, посадових інструкції працівників сектору;</w:t>
            </w:r>
          </w:p>
          <w:p w:rsidR="00217945" w:rsidRPr="00217945" w:rsidRDefault="00217945" w:rsidP="00217945">
            <w:pPr>
              <w:ind w:left="-3" w:right="130"/>
              <w:jc w:val="both"/>
              <w:rPr>
                <w:sz w:val="28"/>
                <w:szCs w:val="28"/>
              </w:rPr>
            </w:pPr>
            <w:r w:rsidRPr="00217945">
              <w:rPr>
                <w:sz w:val="28"/>
                <w:szCs w:val="28"/>
              </w:rPr>
              <w:t>- здійснення моніторингу та контролю за виконанням працівниками сектору посадових обов’язків, дотримання ними виконавчої дисципліни, правил внутрішнього трудового та службового розпорядку, протипожежної безпеки, етики поведінки державного службовця.</w:t>
            </w:r>
          </w:p>
          <w:p w:rsidR="00217945" w:rsidRPr="00217945" w:rsidRDefault="00217945" w:rsidP="00217945">
            <w:pPr>
              <w:ind w:left="-3" w:right="130"/>
              <w:jc w:val="both"/>
              <w:rPr>
                <w:sz w:val="28"/>
                <w:szCs w:val="28"/>
              </w:rPr>
            </w:pPr>
            <w:r w:rsidRPr="00217945">
              <w:rPr>
                <w:sz w:val="28"/>
                <w:szCs w:val="28"/>
              </w:rPr>
              <w:t>Розроблення та підготовка:</w:t>
            </w:r>
          </w:p>
          <w:p w:rsidR="00217945" w:rsidRPr="00217945" w:rsidRDefault="00217945" w:rsidP="00217945">
            <w:pPr>
              <w:ind w:left="-3" w:right="130"/>
              <w:jc w:val="both"/>
              <w:rPr>
                <w:sz w:val="28"/>
                <w:szCs w:val="28"/>
              </w:rPr>
            </w:pPr>
            <w:r w:rsidRPr="00217945">
              <w:rPr>
                <w:sz w:val="28"/>
                <w:szCs w:val="28"/>
              </w:rPr>
              <w:t>- забезпечення виконання завдань щодо реалізації державної політики з питань управління персоналом;</w:t>
            </w:r>
          </w:p>
          <w:p w:rsidR="00217945" w:rsidRPr="00217945" w:rsidRDefault="00217945" w:rsidP="00217945">
            <w:pPr>
              <w:ind w:left="-3" w:right="130"/>
              <w:jc w:val="both"/>
              <w:rPr>
                <w:sz w:val="28"/>
                <w:szCs w:val="28"/>
              </w:rPr>
            </w:pPr>
            <w:r w:rsidRPr="00217945">
              <w:rPr>
                <w:sz w:val="28"/>
                <w:szCs w:val="28"/>
              </w:rPr>
              <w:t>- планування роботи Сектору на рік та на півріччя;</w:t>
            </w:r>
          </w:p>
          <w:p w:rsidR="00217945" w:rsidRPr="00217945" w:rsidRDefault="00217945" w:rsidP="00217945">
            <w:pPr>
              <w:ind w:left="-3" w:right="130"/>
              <w:jc w:val="both"/>
              <w:rPr>
                <w:sz w:val="28"/>
                <w:szCs w:val="28"/>
              </w:rPr>
            </w:pPr>
            <w:r w:rsidRPr="00217945">
              <w:rPr>
                <w:sz w:val="28"/>
                <w:szCs w:val="28"/>
              </w:rPr>
              <w:t>- здійснення контролю за дотриманням Закону України «Про державну службу», законодавчих та нормативно-правових актів з питань кадрової роботи та державної служби, Закону України «Про захист персональних даних» та «Про очищення влади»;</w:t>
            </w:r>
          </w:p>
          <w:p w:rsidR="00217945" w:rsidRPr="00217945" w:rsidRDefault="00217945" w:rsidP="00217945">
            <w:pPr>
              <w:ind w:left="-3" w:right="130"/>
              <w:jc w:val="both"/>
              <w:rPr>
                <w:sz w:val="28"/>
                <w:szCs w:val="28"/>
              </w:rPr>
            </w:pPr>
            <w:r w:rsidRPr="00217945">
              <w:rPr>
                <w:sz w:val="28"/>
                <w:szCs w:val="28"/>
              </w:rPr>
              <w:t>- забезпечення прогнозування та планування потреб в кадрах, організація замовлень на підготовку, перепідготовку та підвищення кваліфікації державних службовців Управління;</w:t>
            </w:r>
          </w:p>
          <w:p w:rsidR="00217945" w:rsidRPr="00217945" w:rsidRDefault="00217945" w:rsidP="00217945">
            <w:pPr>
              <w:ind w:left="-3" w:right="130"/>
              <w:jc w:val="both"/>
              <w:rPr>
                <w:sz w:val="28"/>
                <w:szCs w:val="28"/>
              </w:rPr>
            </w:pPr>
            <w:r w:rsidRPr="00217945">
              <w:rPr>
                <w:sz w:val="28"/>
                <w:szCs w:val="28"/>
              </w:rPr>
              <w:t>- участь в підготовці, проведенні оцінювання службової діяльності державних службовців та виконання заходів щодо реалізації індивідуальних програм підвищення рівня професійної компетентності державних службовців;</w:t>
            </w:r>
          </w:p>
          <w:p w:rsidR="00217945" w:rsidRPr="00217945" w:rsidRDefault="00217945" w:rsidP="00217945">
            <w:pPr>
              <w:ind w:left="-3" w:right="130"/>
              <w:jc w:val="both"/>
              <w:rPr>
                <w:sz w:val="28"/>
                <w:szCs w:val="28"/>
              </w:rPr>
            </w:pPr>
            <w:r w:rsidRPr="00217945">
              <w:rPr>
                <w:sz w:val="28"/>
                <w:szCs w:val="28"/>
              </w:rPr>
              <w:t xml:space="preserve">- участь в організації своєчасного оформлення, прийняття, переведення і звільнення працівників згідно з трудовим законодавством та Закону України "Про державну службу"; </w:t>
            </w:r>
          </w:p>
          <w:p w:rsidR="00217945" w:rsidRPr="00217945" w:rsidRDefault="00217945" w:rsidP="00217945">
            <w:pPr>
              <w:ind w:left="-3" w:right="130"/>
              <w:jc w:val="both"/>
              <w:rPr>
                <w:sz w:val="28"/>
                <w:szCs w:val="28"/>
              </w:rPr>
            </w:pPr>
            <w:r w:rsidRPr="00217945">
              <w:rPr>
                <w:sz w:val="28"/>
                <w:szCs w:val="28"/>
              </w:rPr>
              <w:lastRenderedPageBreak/>
              <w:t>- видача довідок про трудову діяльність працюючих, збереження і заповнення трудових книжок, особових справ та забезпечення складання встановленої звітності з обліку персоналу та своєчасного подання її за належністю;</w:t>
            </w:r>
          </w:p>
          <w:p w:rsidR="00217945" w:rsidRPr="00217945" w:rsidRDefault="00217945" w:rsidP="00217945">
            <w:pPr>
              <w:ind w:left="-3" w:right="130"/>
              <w:jc w:val="both"/>
              <w:rPr>
                <w:sz w:val="28"/>
                <w:szCs w:val="28"/>
              </w:rPr>
            </w:pPr>
            <w:r w:rsidRPr="00217945">
              <w:rPr>
                <w:sz w:val="28"/>
                <w:szCs w:val="28"/>
              </w:rPr>
              <w:t>- організація ведення табельного обліку робочого часу працівників, складання і виконання графіків відпусток, контроль за станом трудової дисципліни, додержанням працівниками правил внутрішнього службового  розпорядку;</w:t>
            </w:r>
          </w:p>
          <w:p w:rsidR="00217945" w:rsidRPr="00217945" w:rsidRDefault="00217945" w:rsidP="00217945">
            <w:pPr>
              <w:ind w:left="-3" w:right="130"/>
              <w:jc w:val="both"/>
              <w:rPr>
                <w:sz w:val="28"/>
                <w:szCs w:val="28"/>
              </w:rPr>
            </w:pPr>
            <w:r w:rsidRPr="00217945">
              <w:rPr>
                <w:sz w:val="28"/>
                <w:szCs w:val="28"/>
              </w:rPr>
              <w:t xml:space="preserve">- надання методичної та практичної допомоги працівникам структурних підрозділів </w:t>
            </w:r>
            <w:r>
              <w:rPr>
                <w:sz w:val="28"/>
                <w:szCs w:val="28"/>
              </w:rPr>
              <w:t>Інспекції</w:t>
            </w:r>
            <w:r w:rsidRPr="00217945">
              <w:rPr>
                <w:sz w:val="28"/>
                <w:szCs w:val="28"/>
              </w:rPr>
              <w:t>;</w:t>
            </w:r>
          </w:p>
          <w:p w:rsidR="00217945" w:rsidRPr="00217945" w:rsidRDefault="00217945" w:rsidP="00217945">
            <w:pPr>
              <w:ind w:left="-3" w:right="130"/>
              <w:jc w:val="both"/>
              <w:rPr>
                <w:sz w:val="28"/>
                <w:szCs w:val="28"/>
              </w:rPr>
            </w:pPr>
            <w:r w:rsidRPr="00217945">
              <w:rPr>
                <w:sz w:val="28"/>
                <w:szCs w:val="28"/>
              </w:rPr>
              <w:t xml:space="preserve">- участь в організації та проведенні конкурсу на заміщення вакантних посад державної служби в </w:t>
            </w:r>
            <w:r>
              <w:rPr>
                <w:sz w:val="28"/>
                <w:szCs w:val="28"/>
              </w:rPr>
              <w:t>Інспекції</w:t>
            </w:r>
            <w:r w:rsidRPr="00217945">
              <w:rPr>
                <w:sz w:val="28"/>
                <w:szCs w:val="28"/>
              </w:rPr>
              <w:t>;</w:t>
            </w:r>
          </w:p>
          <w:p w:rsidR="00217945" w:rsidRPr="00217945" w:rsidRDefault="00217945" w:rsidP="00217945">
            <w:pPr>
              <w:ind w:left="-3" w:right="130"/>
              <w:jc w:val="both"/>
              <w:rPr>
                <w:sz w:val="28"/>
                <w:szCs w:val="28"/>
              </w:rPr>
            </w:pPr>
            <w:r w:rsidRPr="00217945">
              <w:rPr>
                <w:sz w:val="28"/>
                <w:szCs w:val="28"/>
              </w:rPr>
              <w:t xml:space="preserve">- здійснення погодження положень про структурні підрозділи, посадових інструкцій державних службовців та працівників; </w:t>
            </w:r>
          </w:p>
          <w:p w:rsidR="007224A2" w:rsidRPr="00646DE7" w:rsidRDefault="00217945" w:rsidP="009B3B78">
            <w:pPr>
              <w:ind w:left="-3" w:right="130"/>
              <w:jc w:val="both"/>
              <w:rPr>
                <w:sz w:val="28"/>
                <w:szCs w:val="28"/>
              </w:rPr>
            </w:pPr>
            <w:r w:rsidRPr="00217945">
              <w:rPr>
                <w:sz w:val="28"/>
                <w:szCs w:val="28"/>
              </w:rPr>
              <w:t xml:space="preserve">- надання пропозиції щодо структури, штатного розпису </w:t>
            </w:r>
            <w:r>
              <w:rPr>
                <w:sz w:val="28"/>
                <w:szCs w:val="28"/>
              </w:rPr>
              <w:t>Інспекції</w:t>
            </w:r>
            <w:r w:rsidR="009B3B78">
              <w:rPr>
                <w:sz w:val="28"/>
                <w:szCs w:val="28"/>
              </w:rPr>
              <w:t>.</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 xml:space="preserve">1) посадовий оклад – </w:t>
            </w:r>
            <w:r w:rsidR="00C1074C">
              <w:rPr>
                <w:sz w:val="28"/>
                <w:szCs w:val="28"/>
              </w:rPr>
              <w:t>6</w:t>
            </w:r>
            <w:r w:rsidR="00C55FF1">
              <w:rPr>
                <w:sz w:val="28"/>
                <w:szCs w:val="28"/>
              </w:rPr>
              <w:t>3</w:t>
            </w:r>
            <w:r w:rsidRPr="00646DE7">
              <w:rPr>
                <w:sz w:val="28"/>
                <w:szCs w:val="28"/>
              </w:rPr>
              <w:t>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6D6306">
        <w:trPr>
          <w:gridBefore w:val="1"/>
          <w:gridAfter w:val="3"/>
          <w:wBefore w:w="20" w:type="dxa"/>
          <w:wAfter w:w="32" w:type="dxa"/>
        </w:trPr>
        <w:tc>
          <w:tcPr>
            <w:tcW w:w="3685" w:type="dxa"/>
            <w:gridSpan w:val="3"/>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800AFD" w:rsidP="00156E85">
            <w:pPr>
              <w:ind w:right="128"/>
              <w:rPr>
                <w:sz w:val="28"/>
                <w:szCs w:val="28"/>
              </w:rPr>
            </w:pPr>
            <w:r>
              <w:rPr>
                <w:sz w:val="28"/>
                <w:szCs w:val="28"/>
              </w:rPr>
              <w:t>без</w:t>
            </w:r>
            <w:r w:rsidR="00C3046E" w:rsidRPr="00646DE7">
              <w:rPr>
                <w:sz w:val="28"/>
                <w:szCs w:val="28"/>
              </w:rPr>
              <w:t>строкова</w:t>
            </w:r>
          </w:p>
        </w:tc>
      </w:tr>
      <w:tr w:rsidR="00982F5F" w:rsidRPr="00646DE7" w:rsidTr="006D6306">
        <w:trPr>
          <w:gridBefore w:val="1"/>
          <w:gridAfter w:val="3"/>
          <w:wBefore w:w="20" w:type="dxa"/>
          <w:wAfter w:w="32" w:type="dxa"/>
        </w:trPr>
        <w:tc>
          <w:tcPr>
            <w:tcW w:w="3685" w:type="dxa"/>
            <w:gridSpan w:val="3"/>
          </w:tcPr>
          <w:p w:rsidR="00982F5F" w:rsidRPr="00646DE7" w:rsidRDefault="00982F5F" w:rsidP="00982F5F">
            <w:pPr>
              <w:spacing w:before="100" w:beforeAutospacing="1" w:after="100" w:afterAutospacing="1"/>
              <w:ind w:left="118"/>
              <w:rPr>
                <w:sz w:val="28"/>
                <w:szCs w:val="28"/>
              </w:rPr>
            </w:pPr>
            <w:r w:rsidRPr="00646DE7">
              <w:rPr>
                <w:sz w:val="28"/>
                <w:szCs w:val="28"/>
              </w:rPr>
              <w:t>Перелік інформації, необхідної для участі в конкурсі, та строк її подання</w:t>
            </w:r>
          </w:p>
        </w:tc>
        <w:tc>
          <w:tcPr>
            <w:tcW w:w="6942" w:type="dxa"/>
          </w:tcPr>
          <w:p w:rsidR="00982F5F" w:rsidRPr="002D3191" w:rsidRDefault="00982F5F" w:rsidP="00982F5F">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982F5F" w:rsidRPr="00521ADE" w:rsidRDefault="00982F5F" w:rsidP="00982F5F">
            <w:pPr>
              <w:ind w:left="-18" w:right="128"/>
              <w:jc w:val="both"/>
              <w:rPr>
                <w:sz w:val="28"/>
                <w:szCs w:val="28"/>
              </w:rPr>
            </w:pPr>
            <w:r w:rsidRPr="00521ADE">
              <w:rPr>
                <w:sz w:val="28"/>
                <w:szCs w:val="28"/>
              </w:rPr>
              <w:lastRenderedPageBreak/>
              <w:t xml:space="preserve">2) резюме за формою згідно з додатком </w:t>
            </w:r>
            <w:r w:rsidRPr="00C016A1">
              <w:t>2</w:t>
            </w:r>
            <w:r w:rsidRPr="00C016A1">
              <w:rPr>
                <w:vertAlign w:val="superscript"/>
              </w:rPr>
              <w:t>1</w:t>
            </w:r>
            <w:r w:rsidRPr="00521ADE">
              <w:rPr>
                <w:sz w:val="28"/>
                <w:szCs w:val="28"/>
              </w:rPr>
              <w:t xml:space="preserve"> Порядку, в якому обов’язково зазначається така інформація:</w:t>
            </w:r>
          </w:p>
          <w:p w:rsidR="00982F5F" w:rsidRPr="00521ADE" w:rsidRDefault="00982F5F" w:rsidP="00982F5F">
            <w:pPr>
              <w:ind w:left="-18" w:right="128"/>
              <w:jc w:val="both"/>
              <w:rPr>
                <w:sz w:val="28"/>
                <w:szCs w:val="28"/>
              </w:rPr>
            </w:pPr>
            <w:r w:rsidRPr="00521ADE">
              <w:rPr>
                <w:sz w:val="28"/>
                <w:szCs w:val="28"/>
              </w:rPr>
              <w:t>- прізвище, ім’я, по батькові кандидата;</w:t>
            </w:r>
          </w:p>
          <w:p w:rsidR="00982F5F" w:rsidRPr="00521ADE" w:rsidRDefault="00982F5F" w:rsidP="00982F5F">
            <w:pPr>
              <w:ind w:left="-18" w:right="128"/>
              <w:jc w:val="both"/>
              <w:rPr>
                <w:sz w:val="28"/>
                <w:szCs w:val="28"/>
              </w:rPr>
            </w:pPr>
            <w:r w:rsidRPr="00521ADE">
              <w:rPr>
                <w:sz w:val="28"/>
                <w:szCs w:val="28"/>
              </w:rPr>
              <w:t>- реквізити документа, що посвідчує особу та підтверджує громадянство України;</w:t>
            </w:r>
          </w:p>
          <w:p w:rsidR="00982F5F" w:rsidRPr="00521ADE" w:rsidRDefault="00982F5F" w:rsidP="00982F5F">
            <w:pPr>
              <w:ind w:left="-18" w:right="128"/>
              <w:jc w:val="both"/>
              <w:rPr>
                <w:sz w:val="28"/>
                <w:szCs w:val="28"/>
              </w:rPr>
            </w:pPr>
            <w:r w:rsidRPr="00521ADE">
              <w:rPr>
                <w:sz w:val="28"/>
                <w:szCs w:val="28"/>
              </w:rPr>
              <w:t>- підтвердження наявності відповідного ступеня вищої освіти;</w:t>
            </w:r>
          </w:p>
          <w:p w:rsidR="00982F5F" w:rsidRPr="00521ADE" w:rsidRDefault="00982F5F" w:rsidP="00982F5F">
            <w:pPr>
              <w:ind w:left="-18" w:right="128"/>
              <w:jc w:val="both"/>
              <w:rPr>
                <w:sz w:val="28"/>
                <w:szCs w:val="28"/>
              </w:rPr>
            </w:pPr>
            <w:r w:rsidRPr="00521ADE">
              <w:rPr>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82F5F" w:rsidRPr="00521ADE" w:rsidRDefault="00982F5F" w:rsidP="00982F5F">
            <w:pPr>
              <w:ind w:left="-18" w:right="128"/>
              <w:jc w:val="both"/>
              <w:rPr>
                <w:sz w:val="28"/>
                <w:szCs w:val="28"/>
              </w:rPr>
            </w:pPr>
            <w:r w:rsidRPr="00521ADE">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82F5F" w:rsidRDefault="00982F5F" w:rsidP="00982F5F">
            <w:pPr>
              <w:ind w:right="128" w:hanging="18"/>
              <w:jc w:val="both"/>
              <w:rPr>
                <w:sz w:val="28"/>
                <w:szCs w:val="28"/>
              </w:rPr>
            </w:pPr>
            <w:r>
              <w:t>3</w:t>
            </w:r>
            <w:r w:rsidRPr="00B50354">
              <w:rPr>
                <w:vertAlign w:val="superscript"/>
              </w:rPr>
              <w:t>1</w:t>
            </w:r>
            <w:r w:rsidRPr="00521ADE">
              <w:rPr>
                <w:sz w:val="28"/>
                <w:szCs w:val="28"/>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82F5F" w:rsidRPr="002D3191" w:rsidRDefault="00982F5F" w:rsidP="00982F5F">
            <w:pPr>
              <w:ind w:right="128"/>
              <w:jc w:val="both"/>
              <w:rPr>
                <w:sz w:val="28"/>
                <w:szCs w:val="28"/>
                <w:shd w:val="clear" w:color="auto" w:fill="FFFFFF"/>
              </w:rPr>
            </w:pPr>
            <w:r w:rsidRPr="00521ADE">
              <w:rPr>
                <w:sz w:val="28"/>
                <w:szCs w:val="28"/>
              </w:rPr>
              <w:t>Особа, яка виявила бажання взяти</w:t>
            </w:r>
            <w:r w:rsidRPr="002D3191">
              <w:rPr>
                <w:sz w:val="28"/>
                <w:szCs w:val="28"/>
                <w:shd w:val="clear" w:color="auto" w:fill="FFFFFF"/>
              </w:rPr>
              <w:t xml:space="preserve">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w:t>
            </w:r>
            <w:r w:rsidR="00E07308">
              <w:rPr>
                <w:sz w:val="28"/>
                <w:szCs w:val="28"/>
                <w:shd w:val="clear" w:color="auto" w:fill="FFFFFF"/>
              </w:rPr>
              <w:t>і</w:t>
            </w:r>
            <w:bookmarkStart w:id="1" w:name="_GoBack"/>
            <w:bookmarkEnd w:id="1"/>
            <w:r w:rsidRPr="002D3191">
              <w:rPr>
                <w:sz w:val="28"/>
                <w:szCs w:val="28"/>
                <w:shd w:val="clear" w:color="auto" w:fill="FFFFFF"/>
              </w:rPr>
              <w:t>, репутації (характеристики, рекомендації, наукові публікації тощо).</w:t>
            </w:r>
          </w:p>
          <w:p w:rsidR="00982F5F" w:rsidRPr="002D3191" w:rsidRDefault="00982F5F" w:rsidP="00982F5F">
            <w:pPr>
              <w:ind w:right="128"/>
              <w:jc w:val="both"/>
              <w:rPr>
                <w:sz w:val="28"/>
                <w:szCs w:val="28"/>
              </w:rPr>
            </w:pPr>
            <w:r w:rsidRPr="0054091B">
              <w:rPr>
                <w:sz w:val="28"/>
                <w:szCs w:val="28"/>
              </w:rPr>
              <w:t>Подача додатків до заяви не є обов’язковою.</w:t>
            </w:r>
          </w:p>
          <w:p w:rsidR="00982F5F" w:rsidRPr="002D3191" w:rsidRDefault="00982F5F" w:rsidP="00982F5F">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до 17 год. 00 хв. </w:t>
            </w:r>
            <w:r>
              <w:rPr>
                <w:sz w:val="28"/>
                <w:szCs w:val="28"/>
                <w:lang w:val="ru-RU"/>
              </w:rPr>
              <w:t>21</w:t>
            </w:r>
            <w:r w:rsidRPr="002D3191">
              <w:rPr>
                <w:sz w:val="28"/>
                <w:szCs w:val="28"/>
              </w:rPr>
              <w:t xml:space="preserve"> </w:t>
            </w:r>
            <w:r>
              <w:rPr>
                <w:sz w:val="28"/>
                <w:szCs w:val="28"/>
              </w:rPr>
              <w:t>вересня</w:t>
            </w:r>
            <w:r w:rsidRPr="002D3191">
              <w:rPr>
                <w:sz w:val="28"/>
                <w:szCs w:val="28"/>
              </w:rPr>
              <w:t xml:space="preserve"> 2021 року</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6D6306">
        <w:trPr>
          <w:gridBefore w:val="1"/>
          <w:gridAfter w:val="3"/>
          <w:wBefore w:w="20" w:type="dxa"/>
          <w:wAfter w:w="32" w:type="dxa"/>
        </w:trPr>
        <w:tc>
          <w:tcPr>
            <w:tcW w:w="3685" w:type="dxa"/>
            <w:gridSpan w:val="3"/>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w:t>
            </w:r>
            <w:r w:rsidRPr="00646DE7">
              <w:rPr>
                <w:sz w:val="28"/>
                <w:szCs w:val="28"/>
              </w:rPr>
              <w:lastRenderedPageBreak/>
              <w:t>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543C39" w:rsidP="00C7571D">
            <w:pPr>
              <w:ind w:right="128"/>
              <w:jc w:val="both"/>
              <w:rPr>
                <w:sz w:val="28"/>
                <w:szCs w:val="28"/>
              </w:rPr>
            </w:pPr>
            <w:r>
              <w:rPr>
                <w:sz w:val="28"/>
                <w:szCs w:val="28"/>
                <w:lang w:val="ru-UA"/>
              </w:rPr>
              <w:lastRenderedPageBreak/>
              <w:t>2</w:t>
            </w:r>
            <w:r w:rsidR="00982F5F">
              <w:rPr>
                <w:sz w:val="28"/>
                <w:szCs w:val="28"/>
              </w:rPr>
              <w:t>7</w:t>
            </w:r>
            <w:r>
              <w:rPr>
                <w:sz w:val="28"/>
                <w:szCs w:val="28"/>
                <w:lang w:val="ru-UA"/>
              </w:rPr>
              <w:t xml:space="preserve"> </w:t>
            </w:r>
            <w:r w:rsidR="00982F5F">
              <w:rPr>
                <w:sz w:val="28"/>
                <w:szCs w:val="28"/>
              </w:rPr>
              <w:t>вересня</w:t>
            </w:r>
            <w:r w:rsidR="00C7571D" w:rsidRPr="002D3191">
              <w:rPr>
                <w:sz w:val="28"/>
                <w:szCs w:val="28"/>
              </w:rPr>
              <w:t xml:space="preserve"> 2021 року о 09 год. 00 хв.</w:t>
            </w:r>
          </w:p>
          <w:p w:rsidR="00A26DF2" w:rsidRDefault="00A26DF2" w:rsidP="00A26DF2">
            <w:pPr>
              <w:ind w:left="122" w:right="128"/>
              <w:jc w:val="both"/>
              <w:rPr>
                <w:sz w:val="28"/>
                <w:szCs w:val="28"/>
              </w:rPr>
            </w:pPr>
          </w:p>
          <w:p w:rsidR="00982F5F" w:rsidRPr="002D3191" w:rsidRDefault="00982F5F"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lastRenderedPageBreak/>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6D6306">
        <w:trPr>
          <w:gridBefore w:val="1"/>
          <w:gridAfter w:val="3"/>
          <w:wBefore w:w="20" w:type="dxa"/>
          <w:wAfter w:w="32" w:type="dxa"/>
          <w:trHeight w:val="2215"/>
        </w:trPr>
        <w:tc>
          <w:tcPr>
            <w:tcW w:w="3685" w:type="dxa"/>
            <w:gridSpan w:val="3"/>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5"/>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532C47" w:rsidRPr="00982F5F" w:rsidRDefault="00875DCA" w:rsidP="00532C47">
            <w:pPr>
              <w:ind w:left="-10" w:right="164"/>
              <w:jc w:val="both"/>
              <w:rPr>
                <w:sz w:val="28"/>
                <w:szCs w:val="28"/>
              </w:rPr>
            </w:pPr>
            <w:r w:rsidRPr="00532C47">
              <w:rPr>
                <w:sz w:val="28"/>
                <w:szCs w:val="28"/>
              </w:rPr>
              <w:t>Вища не нижче ступеня магістра</w:t>
            </w:r>
            <w:r w:rsidR="0037006F" w:rsidRPr="00532C47">
              <w:rPr>
                <w:sz w:val="28"/>
                <w:szCs w:val="28"/>
              </w:rPr>
              <w:t xml:space="preserve"> за спеціальністю </w:t>
            </w:r>
            <w:r w:rsidR="00532C47" w:rsidRPr="00532C47">
              <w:rPr>
                <w:sz w:val="28"/>
                <w:szCs w:val="28"/>
              </w:rPr>
              <w:t>«Публічне</w:t>
            </w:r>
            <w:r w:rsidR="00532C47">
              <w:rPr>
                <w:sz w:val="28"/>
                <w:szCs w:val="28"/>
              </w:rPr>
              <w:t xml:space="preserve"> управління та адміністрування»</w:t>
            </w:r>
          </w:p>
          <w:p w:rsidR="002523DB" w:rsidRPr="00646DE7" w:rsidRDefault="00982F5F" w:rsidP="00982F5F">
            <w:pPr>
              <w:ind w:left="-10" w:right="164"/>
              <w:jc w:val="both"/>
              <w:rPr>
                <w:sz w:val="28"/>
                <w:szCs w:val="28"/>
              </w:rPr>
            </w:pPr>
            <w:r w:rsidRPr="00982F5F">
              <w:rPr>
                <w:sz w:val="28"/>
                <w:szCs w:val="28"/>
              </w:rPr>
              <w:t xml:space="preserve"> </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D6306" w:rsidP="004303E8">
            <w:pPr>
              <w:ind w:left="-10" w:right="165"/>
              <w:jc w:val="both"/>
              <w:rPr>
                <w:sz w:val="28"/>
                <w:szCs w:val="28"/>
              </w:rPr>
            </w:pPr>
            <w:r>
              <w:rPr>
                <w:sz w:val="28"/>
                <w:szCs w:val="28"/>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2-х років</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5"/>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6D6306">
        <w:trPr>
          <w:gridAfter w:val="1"/>
          <w:wAfter w:w="11" w:type="dxa"/>
        </w:trPr>
        <w:tc>
          <w:tcPr>
            <w:tcW w:w="3705"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63" w:type="dxa"/>
            <w:gridSpan w:val="3"/>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6D6306">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9"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63" w:type="dxa"/>
            <w:gridSpan w:val="3"/>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6D6306">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9"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63" w:type="dxa"/>
            <w:gridSpan w:val="3"/>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9"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63" w:type="dxa"/>
            <w:gridSpan w:val="3"/>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8"/>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6D6306">
        <w:trPr>
          <w:gridAfter w:val="1"/>
          <w:wAfter w:w="11" w:type="dxa"/>
        </w:trPr>
        <w:tc>
          <w:tcPr>
            <w:tcW w:w="3705"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63" w:type="dxa"/>
            <w:gridSpan w:val="3"/>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9"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63" w:type="dxa"/>
            <w:gridSpan w:val="3"/>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t>Конституції України;</w:t>
            </w:r>
          </w:p>
          <w:p w:rsidR="005071DD" w:rsidRPr="009C2079" w:rsidRDefault="005071DD" w:rsidP="00CC6758">
            <w:pPr>
              <w:ind w:left="-10" w:right="164"/>
              <w:jc w:val="both"/>
              <w:rPr>
                <w:sz w:val="28"/>
                <w:szCs w:val="28"/>
              </w:rPr>
            </w:pPr>
            <w:r w:rsidRPr="009C2079">
              <w:rPr>
                <w:sz w:val="28"/>
                <w:szCs w:val="28"/>
              </w:rPr>
              <w:lastRenderedPageBreak/>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9" w:type="dxa"/>
            <w:gridSpan w:val="2"/>
          </w:tcPr>
          <w:p w:rsidR="005071DD" w:rsidRPr="009C2079" w:rsidRDefault="005071DD" w:rsidP="00CC6758">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63" w:type="dxa"/>
            <w:gridSpan w:val="3"/>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proofErr w:type="spellStart"/>
            <w:r w:rsidR="00532C47">
              <w:rPr>
                <w:color w:val="000000"/>
                <w:sz w:val="28"/>
                <w:szCs w:val="28"/>
              </w:rPr>
              <w:t>КЗУпП</w:t>
            </w:r>
            <w:proofErr w:type="spellEnd"/>
            <w:r w:rsidR="00532C47">
              <w:rPr>
                <w:color w:val="000000"/>
                <w:sz w:val="28"/>
                <w:szCs w:val="28"/>
              </w:rPr>
              <w:t xml:space="preserve"> , </w:t>
            </w:r>
            <w:r w:rsidRPr="009C2079">
              <w:rPr>
                <w:color w:val="000000"/>
                <w:sz w:val="28"/>
                <w:szCs w:val="28"/>
              </w:rPr>
              <w:t>Закони України «</w:t>
            </w:r>
            <w:r w:rsidR="00532C47">
              <w:rPr>
                <w:color w:val="000000"/>
                <w:sz w:val="28"/>
                <w:szCs w:val="28"/>
              </w:rPr>
              <w:t>Відпустки</w:t>
            </w:r>
            <w:r w:rsidRPr="009C2079">
              <w:rPr>
                <w:color w:val="000000"/>
                <w:sz w:val="28"/>
                <w:szCs w:val="28"/>
              </w:rPr>
              <w:t xml:space="preserve">», «Про </w:t>
            </w:r>
            <w:r w:rsidR="00532C47">
              <w:rPr>
                <w:color w:val="000000"/>
                <w:sz w:val="28"/>
                <w:szCs w:val="28"/>
              </w:rPr>
              <w:t>очищення влади</w:t>
            </w:r>
            <w:r w:rsidRPr="009C2079">
              <w:rPr>
                <w:color w:val="000000"/>
                <w:sz w:val="28"/>
                <w:szCs w:val="28"/>
              </w:rPr>
              <w:t xml:space="preserve">» </w:t>
            </w:r>
            <w:r w:rsidR="00F15286">
              <w:rPr>
                <w:color w:val="000000"/>
                <w:sz w:val="28"/>
                <w:szCs w:val="28"/>
              </w:rPr>
              <w:t>,</w:t>
            </w:r>
            <w:r w:rsidR="00532C47">
              <w:rPr>
                <w:color w:val="000000"/>
                <w:sz w:val="28"/>
                <w:szCs w:val="28"/>
              </w:rPr>
              <w:t xml:space="preserve"> Постанови КМУ</w:t>
            </w:r>
            <w:r w:rsidR="00F15286">
              <w:rPr>
                <w:color w:val="000000"/>
                <w:sz w:val="28"/>
                <w:szCs w:val="28"/>
              </w:rPr>
              <w:t xml:space="preserve"> «</w:t>
            </w:r>
            <w:r w:rsidR="00532C47">
              <w:rPr>
                <w:color w:val="000000"/>
                <w:sz w:val="28"/>
                <w:szCs w:val="28"/>
              </w:rPr>
              <w:t>Присвоєння рангів державних службовців</w:t>
            </w:r>
            <w:r w:rsidRPr="009C2079">
              <w:rPr>
                <w:color w:val="000000"/>
                <w:sz w:val="28"/>
                <w:szCs w:val="28"/>
              </w:rPr>
              <w:t>”</w:t>
            </w:r>
            <w:bookmarkEnd w:id="2"/>
            <w:r w:rsidR="00532C47">
              <w:rPr>
                <w:color w:val="000000"/>
                <w:sz w:val="28"/>
                <w:szCs w:val="28"/>
              </w:rPr>
              <w:t>, «Надання державним службовцям додаткових оплачуваних відпусток»</w:t>
            </w:r>
          </w:p>
          <w:p w:rsidR="005071DD" w:rsidRPr="009C2079" w:rsidRDefault="00563B7A" w:rsidP="00DF40E1">
            <w:pPr>
              <w:rPr>
                <w:sz w:val="28"/>
                <w:szCs w:val="28"/>
              </w:rPr>
            </w:pPr>
            <w:r>
              <w:rPr>
                <w:color w:val="000000"/>
                <w:sz w:val="28"/>
                <w:szCs w:val="28"/>
              </w:rPr>
              <w:t>Типові порядки про службу управління персоналом, проведення конкурсу на зайняття посад державної служби тощо</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4E70"/>
    <w:rsid w:val="000A7AF0"/>
    <w:rsid w:val="000C746E"/>
    <w:rsid w:val="000D04A8"/>
    <w:rsid w:val="000E34C4"/>
    <w:rsid w:val="000E6553"/>
    <w:rsid w:val="000F5A8F"/>
    <w:rsid w:val="000F6F1A"/>
    <w:rsid w:val="00104699"/>
    <w:rsid w:val="001247B9"/>
    <w:rsid w:val="0013099B"/>
    <w:rsid w:val="00135B57"/>
    <w:rsid w:val="00153E85"/>
    <w:rsid w:val="001564DB"/>
    <w:rsid w:val="00156E85"/>
    <w:rsid w:val="0017085F"/>
    <w:rsid w:val="00173762"/>
    <w:rsid w:val="00182274"/>
    <w:rsid w:val="001C1398"/>
    <w:rsid w:val="001D0EF5"/>
    <w:rsid w:val="001D7059"/>
    <w:rsid w:val="001F2F44"/>
    <w:rsid w:val="00205534"/>
    <w:rsid w:val="0021458E"/>
    <w:rsid w:val="00217945"/>
    <w:rsid w:val="0023055F"/>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B4702"/>
    <w:rsid w:val="002B69B6"/>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006F"/>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430C"/>
    <w:rsid w:val="00485ECE"/>
    <w:rsid w:val="00490B15"/>
    <w:rsid w:val="004A10A8"/>
    <w:rsid w:val="004A41E3"/>
    <w:rsid w:val="004A7BB1"/>
    <w:rsid w:val="004B4B3D"/>
    <w:rsid w:val="004D1A04"/>
    <w:rsid w:val="004E772E"/>
    <w:rsid w:val="00502751"/>
    <w:rsid w:val="005071DD"/>
    <w:rsid w:val="00515923"/>
    <w:rsid w:val="0052565F"/>
    <w:rsid w:val="00527382"/>
    <w:rsid w:val="00532C47"/>
    <w:rsid w:val="00533387"/>
    <w:rsid w:val="00543C39"/>
    <w:rsid w:val="005556CB"/>
    <w:rsid w:val="005564A3"/>
    <w:rsid w:val="00563B7A"/>
    <w:rsid w:val="00571F32"/>
    <w:rsid w:val="00581919"/>
    <w:rsid w:val="00596B35"/>
    <w:rsid w:val="005A1D4E"/>
    <w:rsid w:val="005A7DB4"/>
    <w:rsid w:val="005B2D8B"/>
    <w:rsid w:val="005C40EA"/>
    <w:rsid w:val="005C7299"/>
    <w:rsid w:val="005C7E5F"/>
    <w:rsid w:val="005D51C0"/>
    <w:rsid w:val="005D6F13"/>
    <w:rsid w:val="005E76F0"/>
    <w:rsid w:val="005F54D9"/>
    <w:rsid w:val="00600DCD"/>
    <w:rsid w:val="00611CB2"/>
    <w:rsid w:val="00621A9D"/>
    <w:rsid w:val="006342B0"/>
    <w:rsid w:val="00646DE7"/>
    <w:rsid w:val="00660CB1"/>
    <w:rsid w:val="00664995"/>
    <w:rsid w:val="0067084B"/>
    <w:rsid w:val="00674C66"/>
    <w:rsid w:val="00675C21"/>
    <w:rsid w:val="006A396A"/>
    <w:rsid w:val="006C754C"/>
    <w:rsid w:val="006D6306"/>
    <w:rsid w:val="006E1993"/>
    <w:rsid w:val="006F4F65"/>
    <w:rsid w:val="00701DC3"/>
    <w:rsid w:val="00701E9B"/>
    <w:rsid w:val="00703877"/>
    <w:rsid w:val="0072240D"/>
    <w:rsid w:val="007224A2"/>
    <w:rsid w:val="0072578B"/>
    <w:rsid w:val="00730E4E"/>
    <w:rsid w:val="00736AEF"/>
    <w:rsid w:val="0073767A"/>
    <w:rsid w:val="00757D50"/>
    <w:rsid w:val="00766624"/>
    <w:rsid w:val="007751B5"/>
    <w:rsid w:val="00784A3A"/>
    <w:rsid w:val="007903BF"/>
    <w:rsid w:val="007B5388"/>
    <w:rsid w:val="007C01E7"/>
    <w:rsid w:val="007C38ED"/>
    <w:rsid w:val="007C66AB"/>
    <w:rsid w:val="00800AFD"/>
    <w:rsid w:val="00805FE9"/>
    <w:rsid w:val="008302FF"/>
    <w:rsid w:val="00846B87"/>
    <w:rsid w:val="00875DCA"/>
    <w:rsid w:val="00875F36"/>
    <w:rsid w:val="00885AA9"/>
    <w:rsid w:val="00894986"/>
    <w:rsid w:val="008B07D1"/>
    <w:rsid w:val="008B33ED"/>
    <w:rsid w:val="008E1C42"/>
    <w:rsid w:val="008F682E"/>
    <w:rsid w:val="00910C8A"/>
    <w:rsid w:val="00930C0D"/>
    <w:rsid w:val="009459F3"/>
    <w:rsid w:val="00946628"/>
    <w:rsid w:val="009706B7"/>
    <w:rsid w:val="0097162B"/>
    <w:rsid w:val="00972B0E"/>
    <w:rsid w:val="00973DB2"/>
    <w:rsid w:val="00980B90"/>
    <w:rsid w:val="00982F5F"/>
    <w:rsid w:val="0098519B"/>
    <w:rsid w:val="009861E1"/>
    <w:rsid w:val="00991878"/>
    <w:rsid w:val="00997E05"/>
    <w:rsid w:val="009A0A18"/>
    <w:rsid w:val="009A4074"/>
    <w:rsid w:val="009B3B78"/>
    <w:rsid w:val="009B40BE"/>
    <w:rsid w:val="009E28FD"/>
    <w:rsid w:val="009E3613"/>
    <w:rsid w:val="009E6862"/>
    <w:rsid w:val="009F41B7"/>
    <w:rsid w:val="00A033B1"/>
    <w:rsid w:val="00A26DF2"/>
    <w:rsid w:val="00A27296"/>
    <w:rsid w:val="00A2734C"/>
    <w:rsid w:val="00A41D3F"/>
    <w:rsid w:val="00A74591"/>
    <w:rsid w:val="00A76A8D"/>
    <w:rsid w:val="00A851CA"/>
    <w:rsid w:val="00AC68E9"/>
    <w:rsid w:val="00AF7C49"/>
    <w:rsid w:val="00B107F1"/>
    <w:rsid w:val="00B1463A"/>
    <w:rsid w:val="00B20FFE"/>
    <w:rsid w:val="00B21F1E"/>
    <w:rsid w:val="00B2215E"/>
    <w:rsid w:val="00B353BF"/>
    <w:rsid w:val="00B572F5"/>
    <w:rsid w:val="00B945B0"/>
    <w:rsid w:val="00BB606A"/>
    <w:rsid w:val="00BC20A1"/>
    <w:rsid w:val="00BD1DF3"/>
    <w:rsid w:val="00BD7985"/>
    <w:rsid w:val="00BE55EF"/>
    <w:rsid w:val="00C03EE2"/>
    <w:rsid w:val="00C07AE1"/>
    <w:rsid w:val="00C1074C"/>
    <w:rsid w:val="00C13B47"/>
    <w:rsid w:val="00C16652"/>
    <w:rsid w:val="00C3046E"/>
    <w:rsid w:val="00C43185"/>
    <w:rsid w:val="00C55FF1"/>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D23F0"/>
    <w:rsid w:val="00DF14D9"/>
    <w:rsid w:val="00DF40E1"/>
    <w:rsid w:val="00DF5B00"/>
    <w:rsid w:val="00E0224B"/>
    <w:rsid w:val="00E036CF"/>
    <w:rsid w:val="00E07308"/>
    <w:rsid w:val="00E254F2"/>
    <w:rsid w:val="00E3110A"/>
    <w:rsid w:val="00E66B7D"/>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15286"/>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6A32"/>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6434-4771-4416-8A9C-5D35BDE3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12174</Words>
  <Characters>6940</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24</cp:revision>
  <cp:lastPrinted>2021-08-06T11:21:00Z</cp:lastPrinted>
  <dcterms:created xsi:type="dcterms:W3CDTF">2021-08-06T10:00:00Z</dcterms:created>
  <dcterms:modified xsi:type="dcterms:W3CDTF">2021-09-15T11:46:00Z</dcterms:modified>
</cp:coreProperties>
</file>