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5E7821">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5E7821">
              <w:rPr>
                <w:rStyle w:val="rvts15"/>
                <w:sz w:val="28"/>
                <w:szCs w:val="28"/>
                <w:u w:val="single"/>
              </w:rPr>
              <w:t>17.06</w:t>
            </w:r>
            <w:r w:rsidR="00A03C51" w:rsidRPr="00A03C51">
              <w:rPr>
                <w:rStyle w:val="rvts15"/>
                <w:sz w:val="28"/>
                <w:szCs w:val="28"/>
                <w:u w:val="single"/>
              </w:rPr>
              <w:t>.2021 №</w:t>
            </w:r>
            <w:r w:rsidR="005E7821">
              <w:rPr>
                <w:rStyle w:val="rvts15"/>
                <w:sz w:val="28"/>
                <w:szCs w:val="28"/>
                <w:u w:val="single"/>
              </w:rPr>
              <w:t>2/1-26-55</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964786">
        <w:rPr>
          <w:sz w:val="28"/>
          <w:szCs w:val="28"/>
          <w:lang w:eastAsia="ru-RU"/>
        </w:rPr>
        <w:t>атмосферного повітря</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2E6D8C">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621215">
              <w:rPr>
                <w:sz w:val="28"/>
                <w:szCs w:val="28"/>
              </w:rPr>
              <w:t>17</w:t>
            </w:r>
            <w:r w:rsidR="00A76A8D" w:rsidRPr="00A76A8D">
              <w:rPr>
                <w:sz w:val="28"/>
                <w:szCs w:val="28"/>
              </w:rPr>
              <w:t xml:space="preserve"> год. </w:t>
            </w:r>
            <w:r w:rsidR="00621215">
              <w:rPr>
                <w:sz w:val="28"/>
                <w:szCs w:val="28"/>
              </w:rPr>
              <w:t>00</w:t>
            </w:r>
            <w:r w:rsidR="00A76A8D" w:rsidRPr="00A76A8D">
              <w:rPr>
                <w:sz w:val="28"/>
                <w:szCs w:val="28"/>
              </w:rPr>
              <w:t xml:space="preserve"> хв. </w:t>
            </w:r>
            <w:r w:rsidR="00A76A8D">
              <w:rPr>
                <w:sz w:val="28"/>
                <w:szCs w:val="28"/>
              </w:rPr>
              <w:t>2</w:t>
            </w:r>
            <w:r w:rsidR="00621215">
              <w:rPr>
                <w:sz w:val="28"/>
                <w:szCs w:val="28"/>
              </w:rPr>
              <w:t>5</w:t>
            </w:r>
            <w:r w:rsidR="00A76A8D" w:rsidRPr="00A76A8D">
              <w:rPr>
                <w:sz w:val="28"/>
                <w:szCs w:val="28"/>
              </w:rPr>
              <w:t xml:space="preserve"> </w:t>
            </w:r>
            <w:r w:rsidR="002E6D8C">
              <w:rPr>
                <w:sz w:val="28"/>
                <w:szCs w:val="28"/>
              </w:rPr>
              <w:t>червня</w:t>
            </w:r>
            <w:bookmarkStart w:id="1" w:name="_GoBack"/>
            <w:bookmarkEnd w:id="1"/>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A76A8D" w:rsidRPr="00646DE7" w:rsidRDefault="005E7821" w:rsidP="00A76A8D">
            <w:pPr>
              <w:ind w:right="128"/>
              <w:jc w:val="both"/>
              <w:rPr>
                <w:sz w:val="28"/>
                <w:szCs w:val="28"/>
              </w:rPr>
            </w:pPr>
            <w:r>
              <w:rPr>
                <w:sz w:val="28"/>
                <w:szCs w:val="28"/>
              </w:rPr>
              <w:lastRenderedPageBreak/>
              <w:t>02</w:t>
            </w:r>
            <w:r w:rsidR="00A76A8D" w:rsidRPr="00B81DA9">
              <w:rPr>
                <w:sz w:val="28"/>
                <w:szCs w:val="28"/>
              </w:rPr>
              <w:t xml:space="preserve"> </w:t>
            </w:r>
            <w:r>
              <w:rPr>
                <w:sz w:val="28"/>
                <w:szCs w:val="28"/>
              </w:rPr>
              <w:t xml:space="preserve">липня </w:t>
            </w:r>
            <w:r w:rsidR="00A76A8D" w:rsidRPr="00B81DA9">
              <w:rPr>
                <w:sz w:val="28"/>
                <w:szCs w:val="28"/>
              </w:rPr>
              <w:t xml:space="preserve">2021 року о 09 год. </w:t>
            </w:r>
            <w:r w:rsidR="00A76A8D" w:rsidRPr="00646DE7">
              <w:rPr>
                <w:sz w:val="28"/>
                <w:szCs w:val="28"/>
              </w:rPr>
              <w:t>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2B70BD"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2E6D8C">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2E6D8C">
              <w:rPr>
                <w:color w:val="000000"/>
                <w:sz w:val="28"/>
                <w:szCs w:val="28"/>
                <w:lang w:val="ru-RU"/>
              </w:rPr>
              <w:t>@</w:t>
            </w:r>
            <w:proofErr w:type="spellStart"/>
            <w:r w:rsidRPr="00646DE7">
              <w:rPr>
                <w:color w:val="000000"/>
                <w:sz w:val="28"/>
                <w:szCs w:val="28"/>
                <w:lang w:val="en-US"/>
              </w:rPr>
              <w:t>dei</w:t>
            </w:r>
            <w:proofErr w:type="spellEnd"/>
            <w:r w:rsidRPr="002E6D8C">
              <w:rPr>
                <w:color w:val="000000"/>
                <w:sz w:val="28"/>
                <w:szCs w:val="28"/>
                <w:lang w:val="ru-RU"/>
              </w:rPr>
              <w:t>.</w:t>
            </w:r>
            <w:proofErr w:type="spellStart"/>
            <w:r w:rsidRPr="00646DE7">
              <w:rPr>
                <w:color w:val="000000"/>
                <w:sz w:val="28"/>
                <w:szCs w:val="28"/>
                <w:lang w:val="en-US"/>
              </w:rPr>
              <w:t>gov</w:t>
            </w:r>
            <w:proofErr w:type="spellEnd"/>
            <w:r w:rsidRPr="002E6D8C">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B70BD"/>
    <w:rsid w:val="002C66DF"/>
    <w:rsid w:val="002D1A0F"/>
    <w:rsid w:val="002D1D89"/>
    <w:rsid w:val="002E6D8C"/>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E7821"/>
    <w:rsid w:val="005F54D9"/>
    <w:rsid w:val="00600DCD"/>
    <w:rsid w:val="00611CB2"/>
    <w:rsid w:val="00621215"/>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64786"/>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03C5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605E"/>
  <w15:docId w15:val="{54FCC79F-E25F-494F-A650-307B470A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45FD-AF8A-46EA-8903-115B7F5D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4562</Words>
  <Characters>2601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31</cp:revision>
  <cp:lastPrinted>2021-05-19T10:17:00Z</cp:lastPrinted>
  <dcterms:created xsi:type="dcterms:W3CDTF">2021-03-24T13:28:00Z</dcterms:created>
  <dcterms:modified xsi:type="dcterms:W3CDTF">2021-06-17T10:06:00Z</dcterms:modified>
</cp:coreProperties>
</file>