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72" w:rsidRPr="00981354" w:rsidRDefault="00EB5C6F" w:rsidP="00A90AFE">
      <w:pPr>
        <w:widowControl w:val="0"/>
        <w:spacing w:line="240" w:lineRule="auto"/>
        <w:ind w:left="4820" w:hanging="992"/>
        <w:rPr>
          <w:sz w:val="24"/>
          <w:szCs w:val="24"/>
          <w:lang w:eastAsia="en-US"/>
        </w:rPr>
      </w:pPr>
      <w:bookmarkStart w:id="0" w:name="_GoBack"/>
      <w:bookmarkEnd w:id="0"/>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C6F51" w:rsidRDefault="00981354" w:rsidP="00A90AFE">
      <w:pPr>
        <w:tabs>
          <w:tab w:val="left" w:pos="5670"/>
          <w:tab w:val="left" w:pos="6804"/>
        </w:tabs>
        <w:ind w:left="5103" w:hanging="1275"/>
        <w:rPr>
          <w:sz w:val="24"/>
          <w:szCs w:val="24"/>
          <w:u w:val="single"/>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FC6F51">
        <w:rPr>
          <w:sz w:val="24"/>
          <w:szCs w:val="24"/>
          <w:u w:val="single"/>
        </w:rPr>
        <w:t>20.08.2020 №2/1-29-42</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Default="00A174F4" w:rsidP="00A036BF">
      <w:pPr>
        <w:spacing w:line="240" w:lineRule="auto"/>
        <w:ind w:firstLine="567"/>
        <w:jc w:val="center"/>
        <w:rPr>
          <w:b/>
          <w:bCs/>
          <w:color w:val="000000"/>
          <w:sz w:val="24"/>
          <w:szCs w:val="24"/>
        </w:rPr>
      </w:pPr>
      <w:r w:rsidRPr="00D56B18">
        <w:rPr>
          <w:b/>
          <w:sz w:val="26"/>
          <w:szCs w:val="26"/>
        </w:rPr>
        <w:t xml:space="preserve">про добір </w:t>
      </w:r>
      <w:r w:rsidR="00A036BF">
        <w:rPr>
          <w:b/>
          <w:bCs/>
          <w:color w:val="000000"/>
          <w:sz w:val="24"/>
          <w:szCs w:val="24"/>
        </w:rPr>
        <w:t xml:space="preserve">на зайняття вакантної посади державної служби категорії «В» </w:t>
      </w:r>
    </w:p>
    <w:p w:rsidR="00A036BF" w:rsidRDefault="00A036BF" w:rsidP="00A036BF">
      <w:pPr>
        <w:spacing w:line="240" w:lineRule="auto"/>
        <w:ind w:firstLine="567"/>
        <w:jc w:val="center"/>
      </w:pPr>
      <w:r>
        <w:rPr>
          <w:b/>
          <w:bCs/>
          <w:color w:val="000000"/>
          <w:sz w:val="24"/>
          <w:szCs w:val="24"/>
          <w:u w:val="single"/>
        </w:rPr>
        <w:t>головного спеціаліста сектору державного ринкового нагляду – державного інспектора з охорони навколишнього природного середовища Луганської області</w:t>
      </w:r>
      <w:r>
        <w:rPr>
          <w:b/>
          <w:bCs/>
          <w:color w:val="000000"/>
          <w:sz w:val="24"/>
          <w:szCs w:val="24"/>
        </w:rPr>
        <w:t xml:space="preserve"> </w:t>
      </w:r>
    </w:p>
    <w:p w:rsidR="00A036BF" w:rsidRDefault="00A036BF" w:rsidP="00A036BF">
      <w:pPr>
        <w:spacing w:line="240" w:lineRule="auto"/>
        <w:ind w:firstLine="567"/>
        <w:jc w:val="center"/>
      </w:pPr>
      <w:r>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EB5C6F">
            <w:pPr>
              <w:spacing w:line="240" w:lineRule="auto"/>
              <w:ind w:firstLine="0"/>
              <w:rPr>
                <w:sz w:val="24"/>
                <w:szCs w:val="24"/>
              </w:rPr>
            </w:pPr>
            <w:r w:rsidRPr="00A3538B">
              <w:rPr>
                <w:sz w:val="24"/>
                <w:szCs w:val="24"/>
              </w:rPr>
              <w:t xml:space="preserve">Головний спеціаліст </w:t>
            </w:r>
            <w:r w:rsidR="00EB5C6F">
              <w:rPr>
                <w:sz w:val="24"/>
                <w:szCs w:val="24"/>
              </w:rPr>
              <w:t>сектору</w:t>
            </w:r>
            <w:r w:rsidR="00A036BF">
              <w:rPr>
                <w:sz w:val="24"/>
                <w:szCs w:val="24"/>
              </w:rPr>
              <w:t xml:space="preserve"> державного</w:t>
            </w:r>
            <w:r w:rsidR="00EB5C6F">
              <w:rPr>
                <w:sz w:val="24"/>
                <w:szCs w:val="24"/>
              </w:rPr>
              <w:t xml:space="preserve"> ринкового нагляду </w:t>
            </w:r>
            <w:r w:rsidR="00EB5C6F" w:rsidRPr="00EB5C6F">
              <w:rPr>
                <w:sz w:val="24"/>
                <w:szCs w:val="24"/>
              </w:rPr>
              <w:t xml:space="preserve">- </w:t>
            </w:r>
            <w:r w:rsidR="00EB5C6F" w:rsidRPr="00EB5C6F">
              <w:rPr>
                <w:bCs/>
                <w:color w:val="000000"/>
                <w:sz w:val="24"/>
                <w:szCs w:val="24"/>
              </w:rPr>
              <w:t>державний інспектор з охорони навколишнього природного середовища Луганської області</w:t>
            </w:r>
            <w:r w:rsidR="009C2CE0" w:rsidRPr="00EB5C6F">
              <w:rPr>
                <w:sz w:val="24"/>
                <w:szCs w:val="24"/>
              </w:rPr>
              <w:t>,</w:t>
            </w:r>
            <w:r w:rsidR="00311CD9" w:rsidRPr="00EB5C6F">
              <w:rPr>
                <w:sz w:val="24"/>
                <w:szCs w:val="24"/>
              </w:rPr>
              <w:t xml:space="preserve"> </w:t>
            </w:r>
            <w:r w:rsidRPr="00EB5C6F">
              <w:rPr>
                <w:sz w:val="24"/>
                <w:szCs w:val="24"/>
              </w:rPr>
              <w:t>категорія «В</w:t>
            </w:r>
            <w:r w:rsidR="009C2CE0" w:rsidRPr="00EB5C6F">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w:t>
            </w:r>
            <w:r w:rsidRPr="00A3538B">
              <w:rPr>
                <w:sz w:val="24"/>
                <w:szCs w:val="24"/>
              </w:rPr>
              <w:lastRenderedPageBreak/>
              <w:t xml:space="preserve">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A90AFE" w:rsidRPr="00A90AFE">
              <w:rPr>
                <w:sz w:val="22"/>
                <w:szCs w:val="22"/>
              </w:rPr>
              <w:t xml:space="preserve"> приймається до 17:00 години </w:t>
            </w:r>
            <w:r w:rsidR="00BD0938" w:rsidRPr="00A90AFE">
              <w:rPr>
                <w:sz w:val="22"/>
                <w:szCs w:val="22"/>
              </w:rPr>
              <w:t>«</w:t>
            </w:r>
            <w:r w:rsidR="00EB5C6F">
              <w:rPr>
                <w:sz w:val="22"/>
                <w:szCs w:val="22"/>
              </w:rPr>
              <w:t>25</w:t>
            </w:r>
            <w:r w:rsidR="00B115FE" w:rsidRPr="00A90AFE">
              <w:rPr>
                <w:sz w:val="22"/>
                <w:szCs w:val="22"/>
              </w:rPr>
              <w:t>»</w:t>
            </w:r>
            <w:r w:rsidR="000A0696" w:rsidRPr="00A90AFE">
              <w:rPr>
                <w:sz w:val="22"/>
                <w:szCs w:val="22"/>
              </w:rPr>
              <w:t xml:space="preserve"> </w:t>
            </w:r>
            <w:r w:rsidR="00BD0938" w:rsidRPr="00A90AFE">
              <w:rPr>
                <w:sz w:val="22"/>
                <w:szCs w:val="22"/>
              </w:rPr>
              <w:t xml:space="preserve">серпня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r>
              <w:rPr>
                <w:sz w:val="24"/>
                <w:szCs w:val="24"/>
              </w:rPr>
              <w:t>Осовська-Федорченко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5B" w:rsidRDefault="00C1525B">
      <w:r>
        <w:separator/>
      </w:r>
    </w:p>
  </w:endnote>
  <w:endnote w:type="continuationSeparator" w:id="0">
    <w:p w:rsidR="00C1525B" w:rsidRDefault="00C1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5B" w:rsidRDefault="00C1525B">
      <w:r>
        <w:separator/>
      </w:r>
    </w:p>
  </w:footnote>
  <w:footnote w:type="continuationSeparator" w:id="0">
    <w:p w:rsidR="00C1525B" w:rsidRDefault="00C1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63552">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37657"/>
    <w:rsid w:val="002C5CD0"/>
    <w:rsid w:val="002F1096"/>
    <w:rsid w:val="002F41CD"/>
    <w:rsid w:val="002F57AF"/>
    <w:rsid w:val="00311CD9"/>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37E1"/>
    <w:rsid w:val="004E5800"/>
    <w:rsid w:val="004F2711"/>
    <w:rsid w:val="00500FEF"/>
    <w:rsid w:val="005522DB"/>
    <w:rsid w:val="00563AA0"/>
    <w:rsid w:val="005B21FF"/>
    <w:rsid w:val="00641766"/>
    <w:rsid w:val="006936F3"/>
    <w:rsid w:val="006A0836"/>
    <w:rsid w:val="006B725C"/>
    <w:rsid w:val="006C5419"/>
    <w:rsid w:val="00717C72"/>
    <w:rsid w:val="00727D4A"/>
    <w:rsid w:val="00735A86"/>
    <w:rsid w:val="007562E6"/>
    <w:rsid w:val="00762A28"/>
    <w:rsid w:val="007979AF"/>
    <w:rsid w:val="007D1BB8"/>
    <w:rsid w:val="007E6A60"/>
    <w:rsid w:val="007F5517"/>
    <w:rsid w:val="0081423A"/>
    <w:rsid w:val="0084489B"/>
    <w:rsid w:val="0086158D"/>
    <w:rsid w:val="008B1D59"/>
    <w:rsid w:val="009143ED"/>
    <w:rsid w:val="00966860"/>
    <w:rsid w:val="009732C4"/>
    <w:rsid w:val="00974D06"/>
    <w:rsid w:val="00981354"/>
    <w:rsid w:val="00992730"/>
    <w:rsid w:val="009A0AB5"/>
    <w:rsid w:val="009C2CE0"/>
    <w:rsid w:val="00A036BF"/>
    <w:rsid w:val="00A169E7"/>
    <w:rsid w:val="00A174F4"/>
    <w:rsid w:val="00A3538B"/>
    <w:rsid w:val="00A3571A"/>
    <w:rsid w:val="00A90AFE"/>
    <w:rsid w:val="00AA0464"/>
    <w:rsid w:val="00AB2009"/>
    <w:rsid w:val="00AB2636"/>
    <w:rsid w:val="00AE3F76"/>
    <w:rsid w:val="00AE6A40"/>
    <w:rsid w:val="00B0208E"/>
    <w:rsid w:val="00B115FE"/>
    <w:rsid w:val="00B12C52"/>
    <w:rsid w:val="00B165E5"/>
    <w:rsid w:val="00B54B9D"/>
    <w:rsid w:val="00BA77E5"/>
    <w:rsid w:val="00BB3145"/>
    <w:rsid w:val="00BC68BE"/>
    <w:rsid w:val="00BD0938"/>
    <w:rsid w:val="00BF4347"/>
    <w:rsid w:val="00BF5A89"/>
    <w:rsid w:val="00BF6937"/>
    <w:rsid w:val="00BF710E"/>
    <w:rsid w:val="00C1525B"/>
    <w:rsid w:val="00C20312"/>
    <w:rsid w:val="00C45D36"/>
    <w:rsid w:val="00C5002A"/>
    <w:rsid w:val="00C6272E"/>
    <w:rsid w:val="00CB708A"/>
    <w:rsid w:val="00D17045"/>
    <w:rsid w:val="00D24551"/>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5616E"/>
    <w:rsid w:val="00F63552"/>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2BAED-B4D1-4076-97C6-1545F2E4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3047</Words>
  <Characters>1737</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Користувач Windows</cp:lastModifiedBy>
  <cp:revision>2</cp:revision>
  <cp:lastPrinted>2020-08-03T14:16:00Z</cp:lastPrinted>
  <dcterms:created xsi:type="dcterms:W3CDTF">2020-08-21T11:41:00Z</dcterms:created>
  <dcterms:modified xsi:type="dcterms:W3CDTF">2020-08-21T11:41:00Z</dcterms:modified>
</cp:coreProperties>
</file>